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145</w:t>
      </w:r>
    </w:p>
    <w:p>
      <w:r>
        <w:t>Bundesgericht (BGE), 2013-01-01, DE</w:t>
      </w:r>
    </w:p>
    <w:p>
      <w:r>
        <w:rPr>
          <w:b/>
        </w:rPr>
        <w:t xml:space="preserve">Quelle: </w:t>
      </w:r>
      <w:r>
        <w:t>https://mcp.opencaselaw.ch/entscheid/bge_139 II 145</w:t>
      </w:r>
    </w:p>
    <w:p>
      <w:r>
        <w:t>FR: ATF 139 II 145</w:t>
      </w:r>
    </w:p>
    <w:p>
      <w:r>
        <w:t>IT: DTF 139 II 145</w:t>
      </w:r>
    </w:p>
    <w:p>
      <w:pPr>
        <w:pStyle w:val="Heading2"/>
      </w:pPr>
      <w:r>
        <w:t>Regeste</w:t>
      </w:r>
    </w:p>
    <w:p>
      <w:r>
        <w:t>Regeste a Integraziun d'ina via principala en ina zona da tempo 30 (art. 2a al. 6 ed art. 108 OSV). A basa dal recurs d'abitants da la vischnanca ha la Dretgira administrativa dal chantun Grischun lubì dad integrar la via principala tras Sumvitg en ina zona da tempo 30, cunter la voluntad da l'autoritad chantunala cumpetenta. Quest proceder è stà admissibel, perquai che l'integraziun da la via principala en la zona da tempo 30 n'era betg mo pussaivla tenor l'art. 2a al. 6 ensemen cun l'art. 108 OSV, mabain imperativa (consid. 2-5). Il cas vegn returnà al departament per che quel possia anc decider davart la realisaziun concreta da questa integraziun e per ch'el possia lura publitgar las decisiuns en il Fegl uffizial chantunal (consid. 6 e 7).</w:t>
      </w:r>
    </w:p>
    <w:p>
      <w:r>
        <w:t>Regeste b Einbezug einer Hauptstrasse in eine Tempo-30-Zone (Art. 2a Abs. 6 und Art. 108 SSV). Auf Beschwerde von Einwohnern bewilligte das Verwaltungsgericht Graubünden den Einbezug der Hauptstrasse von Sumvitg in eine Tempo-30-Zone, gegen den Willen der zuständigen kantonalen Behörde. Dieses Vorgehen war zulässig, weil der Einbezug der Hauptstrasse in die Tempo-30-Zone nach Art. 2a Abs. 6 i.V.m. Art. 108 SSV nicht nur möglich, sondern geboten war (E. 2-5). Rückweisung der Sache an das Departement, damit dieses noch über das Wie, d.h. die konkrete Umsetzung, entscheiden und die Publikation im Amtsblatt vornehmen kann (E. 6 und 7).</w:t>
      </w:r>
    </w:p>
    <w:p>
      <w:pPr>
        <w:pStyle w:val="Heading2"/>
      </w:pPr>
      <w:r>
        <w:t>Erwägungen</w:t>
      </w:r>
    </w:p>
    <w:p>
      <w:r>
        <w:rPr>
          <w:b/>
        </w:rPr>
        <w:t>E. 2</w:t>
      </w:r>
    </w:p>
    <w:p>
      <w:r>
        <w:t>Las partidas recurrentas crititgeschan sco emprim punct che la Dretgira administrativa n'avess betg dastgà lubir sezza ch'il tschancun da la via principala vegnia integrà en la zona da tempo 30. Tenor la regulaziun clera da las cumpetenzas chantunalas saja cumpetent per ina tala lubientscha exclusivamain il departament (art. 6 s. da la lescha introductiva dal chantun Grischun dals 11 da zercladur 2008 tar la lescha federala davart il traffic sin via [LItLTV; DG 870.100], ensemen cun l'art. 2 lit. b da l'ordinaziun respectiva dals 8 da december 2008 [ORtLltLTV; DG 870.110]).</w:t>
      </w:r>
    </w:p>
    <w:p>
      <w:r>
        <w:rPr>
          <w:b/>
        </w:rPr>
        <w:t>E. 2.1</w:t>
      </w:r>
    </w:p>
    <w:p>
      <w:r>
        <w:t>Die Beschwerdegegner verweisen dagegen auf Art. 56 Abs. 3 des Bündner Gesetzes vom 31. August 2006 über die Verwaltungsrechtspflege (VRG; BR 370.100), wonach das Verwaltungsgericht im Falle der Aufhebung der angefochtenen Verfügung selbst entscheiden kann, sofern die Sache spruchreif ist. Dies sei vorliegend aufgrund des schlüssigen Gutachtens und des verwaltungsgerichtlichen Augenscheins der Fall gewesen.</w:t>
      </w:r>
    </w:p>
    <w:p>
      <w:r>
        <w:rPr>
          <w:b/>
        </w:rPr>
        <w:t>E. 2.2</w:t>
      </w:r>
    </w:p>
    <w:p>
      <w:r>
        <w:t>Wie die Beschwerdeführerinnen zutreffend darlegen, ist das Departement für Anordnungen des Verkehrs auf Kantonsstrassen BGE 139 II 145 S. 161 zuständig (Art. 6 Abs. 1 EGzSVG); die Gemeinden dürfen (mit Zustimmung bzw. vorgängiger Genehmigung des Kantons) den örtlichen Verkehr auf Gemeindestrassen regeln; davon ausgenommen sind jedoch Geschwindigkeitsbeschränkungen, die in der Kompetenz des Departements bleiben (Art. 7 Abs. 1 EGzSVG). Die Formulierung des verwaltungsgerichtlichen Dispositivs ("Genehmigung" des Gesuchs der Gemeinde Sumvitg um Einführung einer Tempo-30-Zone auf der Hauptstrasse H19) ist insofern missverständlich, als es gerade nicht um eine Anordnung im Zuständigkeitsbereich der Gemeinde mit vorgängiger Genehmigung des Kantons geht. Das Departement entscheidet jedoch praxisgemäss über die Einführung von Tempo-30-Zonen und den Einbezug von Hauptstrassen in solche Zonen auf Gesuch der betroffenen Gemeinde (vgl. Ziff. 4.2 und 4.4 der kantonalen Richtlinie "Verkehrsberuhigung innerorts", von der Regierung genehmigt am 15. März 2005). Demgemäss formulierte auch das Departement in seiner Verfügung vom 21. Januar 2011, das Gesuch der Gemeinde Sumvitg um Einführung einer flächendeckenden Tempo-30-Zone werde (ohne Einbezug der Hauptstrasse) "genehmigt". Vor diesem Hintergrund ist die vom Verwaltungsgericht erteilte "Genehmigung" als Anordnung des Einbezugs der Hauptstrasse H19 in die Tempo-30-Zone von Sumvitg zu verstehen. Hierzu ist zwar grundsätzlich das Departement zuständig; das Verwaltungsgericht kann jedoch bei Aufhebung eines Departementsentscheids selbst in der Sache entscheiden, wenn die Sache spruchreif ist (Art. 56 Abs. 3 VRG). Dies ist nur der Fall, wenn der Einbezug der Hauptstrasse H19 in die Tempo-30-Zone von Sumvitg nach Art. 2a Abs. 6 i.V.m. Art. 108 SSV nicht nur zulässig, sondern geboten ist (vgl. dazu unten E. 3-6). Nur in diesem Fall wäre das Departement verpflichtet, dem Gesuch der Gemeinde Sumvitg stattzugeben, ohne dass ihm hinsichtlich des Ob noch ein Ermessensspielraum zustehen würde (zum Wie vgl. unten E. 6).</w:t>
      </w:r>
    </w:p>
    <w:p>
      <w:r>
        <w:rPr>
          <w:b/>
        </w:rPr>
        <w:t>E. 2.3</w:t>
      </w:r>
    </w:p>
    <w:p>
      <w:r>
        <w:t>Zwar ist dem Bundesamt für Strassen (ASTRA) zuzustimmen, dass der reformatorische Entscheid des Verwaltungsgerichts zu einer Verkürzung des Rechtswegs für Personen führte, die (wie die Beschwerdeführerinnen) gegen den Einbezug der Hauptstrasse in die Tempo-30-Zone waren und nicht zum Beschwerdeverfahren vor Verwaltungsgericht beigeladen worden sind. Allerdings haben die BGE 139 II 145 S. 162 Beschwerdeführerinnen ihre fehlende Beteiligung am verwaltungsgerichtlichen Verfahren nicht gerügt. Da es sich um eine grundrechtliche Rüge handelt, ist sie vom Bundesgericht nicht von Amtes wegen zu prüfen (vgl. Art. 106 Abs. 2 BGG ). 3.</w:t>
      </w:r>
    </w:p>
    <w:p>
      <w:r>
        <w:rPr>
          <w:b/>
        </w:rPr>
        <w:t>E. 3.1</w:t>
      </w:r>
    </w:p>
    <w:p>
      <w:r>
        <w:t>Die Beschwerdeführerinnen sind der Auffassung, das Verwaltungsgericht habe seine Kognition überschritten und das Gewaltenteilungsprinzip verletzt, indem es sein Ermessen an die Stelle des Ermessens des Departements gesetzt habe. Sie machen geltend, dass Art. 108 SSV zwar abschliessend die Voraussetzungen regle, unter denen Tempo-30-Zonen auf Hauptstrassen eingeführt werden könnten; dagegen bestehe kein justiziabler Anspruch auf die Einführung einer solchen Zone, d.h. den zuständigen kantonalen Behörden verbleibe ein grosser Ermessensspielraum. Dieser stehe nach Bündner Recht dem Departement als zuständiger Behörde zu und müsse vom Verwaltungsgericht respektiert werden, das lediglich zur Sachverhalts- und Rechtskontrolle befugt sei (Art. 51 Abs. 1 VRG). Die von der Regierung genehmigte Richtlinie "Verkehrsberuhigung innerorts" enthalte verschiedene Kriterien zur Beurteilung von Gesuchen um Einführung von Tempo-30-Zonen und sehe vier Abstufungen vor: Einführung "empfehlenswert", "eher empfehlenswert", "eher abzulehnen" und "zwingend abzulehnen". Als zwingendes Kriterium definiere die Richtlinie den sogenannten V 85 -Wert vor Einführung der Tempo-30-Zone, d.h. die Geschwindigkeit, die von 85 % der gemessenen Fahrzeuge nicht überschritten werde. Dieser Wert dürfe bei Hauptstrassen 42 km/h nicht überschreiten. Da dieses Kriterium in Sumvitg nicht eingehalten werde, habe das Departement darauf verzichtet, das Vorliegen der weiteren Voraussetzungen zu prüfen und habe sich insbesondere nicht mit dem Gutachten befasst. Es habe sich auch nicht zu Fragen der konkreten Umsetzung geäussert (z.B. Beginn und Ende der Tempo-30-Zone auf der Hauptstrasse in Sumvitg; Regelung des Vortrittsrechts, allfällige Anordnung von Fussgängerstreifen; bauliche Massnahmen; allfällige Einführung einer Versuchsphase nach Art. 107 Abs. 2 bis SSV ). Das Verwaltungsgericht habe in seinem Urteil festgehalten, dass der V 85 -Wert für die Einführung einer Tempo-30-Zone keine Rolle spielen dürfe, sondern nur dazu diene, aufgrund der mittleren gefahrenen Geschwindigkeit die Notwendigkeit, die Zahl und die Art der BGE 139 II 145 S. 163 baulichen Massnahmen festzulegen. Unter diesen Umständen hätte es die angefochtene Verfügung wegen Ermessensunterschreitung aufheben und die Sache zu neuer Beurteilung an das Departement zurückweisen müssen. Statt dessen habe es in der Sache selbst entschieden und damit sein Ermessen an die Stelle desjenigen des Departements gesetzt.</w:t>
      </w:r>
    </w:p>
    <w:p>
      <w:r>
        <w:rPr>
          <w:b/>
        </w:rPr>
        <w:t>E. 3.2</w:t>
      </w:r>
    </w:p>
    <w:p>
      <w:r>
        <w:t>Die Beschwerdegegner machen dagegen geltend, eine Abweichung von den Schlussfolgerungen des - auch nach Auffassung des Departements vollständigen - Gutachtens hätte einer qualifizierten Begründung bedurft. Das Verwaltungsgericht habe die vom Departement angeführten Gründe für die Abweisung des Gesuchs um Einführung von Tempo-30 auf der Kantonsstrasse verworfen und sei dem Gutachten gefolgt; es sei deshalb zum Ergebnis gelangt, dass die Verweigerung des kommunalen Gesuchs für den Hauptstrassenabschnitt eine Rechtsverletzung darstelle. Insofern habe es seine Kognition nicht überschritten.</w:t>
      </w:r>
    </w:p>
    <w:p>
      <w:r>
        <w:rPr>
          <w:b/>
        </w:rPr>
        <w:t>E. 3.3</w:t>
      </w:r>
    </w:p>
    <w:p>
      <w:r>
        <w:t>Das Departement betont, dass Hauptstrassenabschnitte nur ausnahmsweise bei besonderen örtlichen Gegebenheiten in eine Tempo-30-Zone einbezogen werden dürften ( Art. 2a Abs. 5 und 6 SSV ). Die Regierung des Kantons Graubünden habe dies in ihrer Richtlinie auf Ortszentren beschränkt, in denen die gefahrene Geschwindigkeit bereits gering sei. Auf verkehrsorientierten Strassen wolle die Bündner Regierung zwecks Erhaltung des Verkehrsflusses nicht Hand bieten für bauliche Massnahmen.</w:t>
      </w:r>
    </w:p>
    <w:p>
      <w:r>
        <w:rPr>
          <w:b/>
        </w:rPr>
        <w:t>E. 3.4</w:t>
      </w:r>
    </w:p>
    <w:p>
      <w:r>
        <w:t>Das ASTRA legt in seiner Vernehmlassung dar, dass der Einbezug eines Hauptstrassenabschnitts in eine neu zu schaffende Tempo-30-Zone im Prinzip zweierlei Anordnungen erfordere: einerseits die Anordnung der Tempo-30-Zone auf den Nebenstrassen, andererseits den Einbezug der Hauptstrasse, wobei für beide ein Gutachten erforderlich sei. Diese Differenzierung komme beim Gutachten Hartmann &amp; Sauter etwas zu kurz. Zwar verweise Art. 2a Abs. 6 SSV für den Einbezug von Hauptstrassen auf die allgemeinen Voraussetzungen für Tempo-30-Zonen gemäss Art. 108 SSV . Dennoch seien bei einer Hauptstrasse strengere Anforderungen zu stellen als bei siedlungsorientierten Nebenstrassen: Die Temporeduktion auf der Hauptstrasse dürfe nicht bloss die Erhöhung des Wohlbefindens der schwächeren Verkehrsteilnehmer bezwecken, sondern müsse der Behebung eines eigentlichen Sicherheitsmankos dienen. Auch bei der Verhältnismässigkeitsprüfung sei BGE 139 II 145 S. 164 auf allen Stufen (Geeignetheit, Erforderlichkeit und Verhältnismässigkeit i.e.S.) eine restriktivere Beurteilung geboten. Dabei sei auch zu berücksichtigen, dass die Kantone für ihr Hauptstrassennetz bundesrechtlich subventioniert werden, weshalb ein höherer Aufwand für bauliche Alternativmassnahmen auf Haupt- als auf Nebenstrassen verlangt werden könne. Werde die Zulässigkeitsprüfung in diesem Sinne vorgenommen, sei es möglich, dass ausnahmsweise ein Hauptstrassenabschnitt in eine Tempo-30-Zone einbezogen werden dürfe, namentlich dann, wenn sie zentral durch eine umliegende Tempo-30-Zone verlaufe und der Einbezug sich aus Praktikabilitätsgründen aufdränge. Das ASTRA stimmt dem Verwaltungsgericht zu, dass der V 85 -Wert wenig geeignet sei, um die Erforderlichkeit des Einbezugs eines Hauptstrassenabschnitts in eine Tempo-30-Zone zu klären. Dieses Kriterium sei primär für die Frage relevant, ob die Tempo-30-Zone mit baulichen Unterstützungsmassnahmen zu flankieren sei. Soweit jedoch ein Ermessensspielraum bei der Beurteilung bestehen bleibe, sollte dieser von der örtlich näheren zuständigen Vollzugsbehörde ausgefüllt werden. Eine Verkehrsanordnung könne von Dritten, gegen den Willen der zuständigen Anordnungsbehörde, nur dann gerichtlich eingefordert werden, wenn sie wirklich zwingend erforderlich sei. 4. Die allgemeine Höchstgeschwindigkeit für Fahrzeuge in Ortschaften wurde vom Bundesrat auf 50 km/h festgelegt (Art. 4a Abs. 1 lit. a der Verkehrsregelnverordnung vom 13. November 1962 [VRV; SR 741.11] i.V.m. Art. 32 Abs. 2 des Strassenverkehrsgesetzes vom 19. Dezember 1958 [SVG; SR 741.01]). Sie kann für bestimmte Strassenstrecken von der zuständigen Behörde aufgrund eines Gutachtens herab- oder heraufgesetzt werden ( Art. 32 Abs. 3 SVG und Art. 108 SSV ). Gemäss Art. 108 Abs. 5 SSV können auf Strassen innerorts tiefere Höchstgeschwindigkeiten als 50 km/h in Abstufungen von je 10 km/h angeordnet werden (lit. d); zudem besteht (nach lit. e) die Möglichkeit, eine Tempo-30-Zone oder eine Begegnungszone mit Tempo-20 einzuführen.</w:t>
      </w:r>
    </w:p>
    <w:p>
      <w:r>
        <w:rPr>
          <w:b/>
        </w:rPr>
        <w:t>E. 4</w:t>
      </w:r>
    </w:p>
    <w:p>
      <w:r>
        <w:t>Il tempo maximal general per vehichels entaifer ils vitgs è vegnì fixà dal Cussegl federal a 50 km/h (art. 4a al. 1 lit. a da l'ordinaziun dals 13 da november 1962 davart las reglas dal traffic sin via [ORT; CS 741.11] ensemen cun l'art. 32 al. 2 da la lescha federala dals 19 da december 1958 davart il traffic sin via [LTV; CS 741.01]). Quest tempo maximal po vegnir augmentà u reducì da l'autoritad cumpetenta a basa d'ina expertisa (art. 32 al. 3 LTV ed art. 108 OSV). Tenor l'art. 108 al. 5 OSV pon vegnir decretads entaifer ils vitgs tempos maximals pli bass che 50 km/h en pass da mintgamai 10 km/h (lit. d); ultra da quai èsi pussaivel (tenor la lit. e) dad introducir ina zona da tempo 30 ubain ina zona da scuntrada cun tempo 20.</w:t>
      </w:r>
    </w:p>
    <w:p>
      <w:r>
        <w:rPr>
          <w:b/>
        </w:rPr>
        <w:t>E. 4.1</w:t>
      </w:r>
    </w:p>
    <w:p>
      <w:r>
        <w:t>Tempo-30-Zonen kennzeichnen Strassen in Quartieren oder Siedlungsbereichen, auf denen besonders vorsichtig und rücksichtsvoll gefahren werden muss und die Höchstgeschwindigkeit 30 km/h beträgt ( Art. 22a SSV ). Sie sind in der Verordnung des UVEK vom 28. September 2001 über die Tempo-30-Zonen und die Begegnungszonen (SR 741.213.3) näher geregelt. BGE 139 II 145 S. 165</w:t>
      </w:r>
    </w:p>
    <w:p>
      <w:r>
        <w:rPr>
          <w:b/>
        </w:rPr>
        <w:t>E. 4.1.1</w:t>
      </w:r>
    </w:p>
    <w:p>
      <w:r>
        <w:t>Tempo-30-Zonen sind grundsätzlich auf Nebenstrassen mit möglichst gleichartigem Charakter beschränkt ( Art. 2a Abs. 5 SSV ). Der Bundesrat führte dazu aus, Erfahrungen mit Tempo-30-Zonen im In- und Ausland hätten gezeigt, dass die Zonensignalisation nur auf siedlungsorientierten Strassen mit gleichartigen Merkmalen die gewünschte Wirkung entfalten, nicht aber auf verkehrsorientierten Strassen, wie insbesondere signalisierte Hauptstrassen, die eine andere Funktion hätten und entsprechend auszugestalten seien. Bei solchen Strassen mit Durchgangsverkehr seien die Autofahrer im Allgemeinen überfordert, wenn Verkehrsmassnahmen mit einer Zonensignalisation grossflächig für alle Innerortsstrassen, d.h. für ganz unterschiedliche Strassenkategorien, angeordnet würden (Botschaft des Bundesrats vom 13. März 2000 zur Volksinitiative "für mehr Verkehrssicherheit durch Tempo 30 innerorts mit Ausnahmen [Strassen für alle]", BBl 2000 2896 Ziff. 3.4). Sind Geschwindigkeitsbegrenzungen aus Gründen der Verkehrssicherheit auf Hauptstrassen oder verkehrsorientierten Nebenstrassen notwendig, werden sie grundsätzlich nach Art. 108 Abs. 5 lit. d SSV (und nicht durch Zuweisung zu einer Tempo-30-Zone nach lit. e) angeordnet und mit dem Signal "Höchstgeschwindigkeit" angezeigt. Dieses gilt - wenn das Signal nicht wiederholt wird - nur bis zur nächsten Verzweigung (vgl. Botschaft, a.a.O.).</w:t>
      </w:r>
    </w:p>
    <w:p>
      <w:r>
        <w:rPr>
          <w:b/>
        </w:rPr>
        <w:t>E. 4.1.2</w:t>
      </w:r>
    </w:p>
    <w:p>
      <w:r>
        <w:t>Ausnahmsweise und bei besonderen örtlichen Gegebenheiten kann auch ein Hauptstrassenabschnitt in eine Tempo-30-Zone einbezogen werden, namentlich in einem Ortszentrum oder in einem Altstadtgebiet ( Art. 2a Abs. 6 SSV ), d.h. an Orten, an denen das Fussgängeraufkommen am grössten ist. Wie das ASTRA in seiner Vernehmlassung erläutert, ist an Fälle gedacht, in denen eine Hauptstrasse, auf der die Geschwindigkeit auf 30 km/h herabgesetzt werden soll, unmittelbar an eine Tempo-30-Zone angrenzt. Hier wäre es unpraktikabel, bei den Übergängen jeweils die Tempo-30-Zone aufheben und Tempo 30 anordnen zu müssen und umgekehrt. Vorliegend verläuft der Abschnitt der Hauptstrasse, der in die Tempo-30-Zone einbezogen werden soll, mitten durch das Ortszentrum von Sumvitg und wird auf beiden Seiten von der (bereits vom Departement gutgeheissenen) Tempo-30-Zone umschlossen. Insofern liegen grundsätzlich besondere örtliche Gegebenheiten i.S. von Art. 2a Abs. 6 SSV vor, bei denen der Einbezug der Hauptstrasse in eine Tempo-30-Zone in Betracht kommen kann, sofern die übrigen Voraussetzungen vorliegen. BGE 139 II 145 S. 166</w:t>
      </w:r>
    </w:p>
    <w:p>
      <w:r>
        <w:rPr>
          <w:b/>
        </w:rPr>
        <w:t>E. 4.1.3</w:t>
      </w:r>
    </w:p>
    <w:p>
      <w:r>
        <w:t>Dem ASTRA ist zuzustimmen, dass zwischen der Einführung einer Tempo-30-Zone und dem Einbezug einer Hauptstrasse in diese Zone zu unterscheiden ist. Allerdings ist es zulässig, beide Anordnungen in einer Verfügung zusammenzufassen, d.h. eine neue Tempo-30-Zone zu schaffen, die von vornherein auch einen Hauptstrassenabschnitt umfasst, sofern die Voraussetzungen für den Einbezug der Hauptstrasse erfüllt sind.</w:t>
      </w:r>
    </w:p>
    <w:p>
      <w:r>
        <w:rPr>
          <w:b/>
        </w:rPr>
        <w:t>E. 4.2</w:t>
      </w:r>
    </w:p>
    <w:p>
      <w:r>
        <w:t>Die Gründe, die eine Herabsetzung der allgemeinen Höchstgeschwindigkeit bzw. eine Tempo-30-Zone erforderlich machen können, werden in Art. 108 Abs. 2 SSV abschliessend aufgezählt: Eine Gefahr ist nur schwer oder nicht rechtzeitig erkennbar und anders nicht zu beheben (lit. a); bestimmte Strassenbenützer bedürfen eines besonderen, nicht anders zu erreichenden Schutzes (lit. b); auf Strecken mit grosser Verkehrsbelastung kann der Verkehrsablauf verbessert werden (lit. c) oder eine im Sinne der Umweltschutzgesetzgebung übermässige Umweltbelastung (Lärm, Schadstoffe) kann vermindert werden (lit. d).</w:t>
      </w:r>
    </w:p>
    <w:p>
      <w:r>
        <w:rPr>
          <w:b/>
        </w:rPr>
        <w:t>E. 4.3</w:t>
      </w:r>
    </w:p>
    <w:p>
      <w:r>
        <w:t>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und Art. 3 der Verordnung des UVEK vom 28. September 2001 über die Tempo-30-Zonen und die Begegnungszonen [SR 741.213.3]; vgl. dazu BGE 136 II 539 E. 3.2 S. 547 f. mit Hinweisen).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vgl. zum Ganzen Urteil 1C_206/2008 vom 9. Oktober 2008 E. 2.2). 5. Der vorliegende Fall unterscheidet sich von den bisher vom Bundesgericht beurteilten Konstellationen, in denen zu beurteilen war, ob die zuständige kantonale Behörde eine Tempo-30-Zone bundesrechtskonform angeordnet bzw. zulässigerweise einen Hauptstrassenabschnitt einbezogen hatte. Wie oben (E. 2) dargelegt, wurde hier der Einbezug der Hauptstrasse H19 in die Tempo-30-Zone vom Verwaltungsgericht auf Beschwerde von Einwohnern Sumvitgs angeordnet, und zwar gegen den Willen der zuständigen kantonalen Behörde. BGE 139 II 145 S. 167 Verkehrsbeschränkungen der hier in Frage stehenden Art sind regelmässig mit komplexen Interessenabwägungen verbunden, bei denen die zuständigen Behörden über einen erheblichen Gestaltungsspielraum verfügen ( BGE 136 II 539 E. 3.2 S. 548 mit Hinweisen). Insofern ist eine Ermessensschrumpfung auf Null nur in Fällen anzunehmen, in denen eine schwerwiegende Gefahr bzw. ein besonders gewichtiges Schutzbedürfnis i.S. von Art. 108 Abs. 2 lit. a und b SSV vorliegen. Ob auch einer der in lit. c und d genannten Gründe genügen würde, kann vorliegend offenbleiben. Zudem muss der Einbezug einer Hauptstrasse in die Tempo-30-Zone geeignet, erforderlich und verhältnismässig i.e.S. sein. Dabei ist ein strenger Massstab anzulegen; hierfür kann auf die zutreffenden Ausführungen des ASTRA verwiesen werden. Ob diese Voraussetzungen vorliegen, prüft das Bundesgericht grundsätzlich frei. Es übt jedoch Zurückhaltung, soweit die Beurteilung von einer Würdigung der örtlichen Verhältnisse abhängt, welche die zuständigen Behörden besser kennen als das Bundesgericht (vgl. BGE 129 I 337 E. 4.1 S. 344). Es ist an den von der Vorinstanz festgestellten Sachverhalt gebunden, soweit dieser nicht offensichtlich unrichtig ist oder auf einer Rechtsverletzung im Sinne von Art. 95 BGG beruht ( Art. 105 und 97 Abs. 1 BGG ).</w:t>
      </w:r>
    </w:p>
    <w:p>
      <w:r>
        <w:rPr>
          <w:b/>
        </w:rPr>
        <w:t>E. 5</w:t>
      </w:r>
    </w:p>
    <w:p>
      <w:r>
        <w:t>Quest cas concret sa differenziescha da las constellaziuns giuditgadas fin ussa dal Tribunal federal, en las qualas igl era d'examinar, sche l'autoritad chantunala cumpetenta ha ordinà ina zona da tempo 30 confurm al dretg federal resp. sch'ella ha integrà en maniera admissibla in tschancun da la via principala. Sco declerà survart (consid. 2) è en quest cas vegnida ordinada l'integraziun da la via principala H19 en la zona da tempo 30 da la Dretgira administrativa suenter il recurs da persunas ch'abiteschan a Sumvitg, e quai cunter la voluntad da las autoritads chantunalas cumpetentas. Limitaziuns dal traffic da quest gener stattan regularmain en connex cun examinaziuns cumplexas dals interess existents, tar las qualas las autoritads cumpetentas han ina gronda libertad concepziunala (DTF 136 II 539 consid. 3.2 p. 548 cun referenzas). En quest senn po vegnir supponì che la libertad d'interpretaziun sa reduceschia cumplettamain be en cas d'in privel gravant ubain d'in basegn da protecziun spezialmain stringent en il senn da l'art. 108 al. 2 lit. a e b OSV. Sch'i bastass er ina da las premissas numnadas en las lit. c e d po per entant restar avert. Ultra da quai sto l'integraziun d'ina via BGE 139 II 145 S. 154 principala en ina zona da tempo 30 esser opportuna, necessaria ed adequata. La situaziun sto vegnir examinada cun criteris severs ; en quest connex po vegnir renvià a las decleraziuns respectivas dal UVIAS. Sche questas premissas bastan, examinescha il Tribunal federal en princip libramain. El agescha dentant en maniera discreta cur che il giudicament dependa d'ina examinaziun da las cundiziuns localas che las autoritads cumpetentas enconuschan meglier ch'il Tribunal federal (cf. DTF 129 I 337 consid. 4.1 p. 344). Ils fatgs constatads da l'instanza precedenta en liants per il Tribunal federal, sch'els n'èn betg evidentamain incorrects e sch'els na sa basan betg sin ina violaziun dal dretg en il senn da l'art. 95 LTF ( art. 105 e 97 al. 1 LTF).</w:t>
      </w:r>
    </w:p>
    <w:p>
      <w:r>
        <w:rPr>
          <w:b/>
        </w:rPr>
        <w:t>E. 5.1</w:t>
      </w:r>
    </w:p>
    <w:p>
      <w:r>
        <w:t>Im Gutachten wird festgehalten, dass die Ortsdurchfahrt von Sumvitg über bedeutende Strecken über gar kein oder nur ein einseitiges Trottoir gemäss der einschlägigen VSS Norm SN 640 070 (mit einer Mindestbreite von 1,5 m) verfügt. Dies habe zur Folge, dass viele Fussgänger, die sich entlang der Ortsdurchfahrt bewegen, ausserordentlich gefährdet seien. Dazu gehörten vor allem ältere Leute, Eltern mit Kleinkindern im Kinderwagen sowie die Kindergärtner und Schüler, welche zur Haltestelle des Schulbusses am westlichen Dorfende bzw. umgekehrt laufen müssten. Hinzu komme, dass es längs der Ortsdurchfahrt an mehreren Stellen wichtige Querungen für Fussgänger gebe (Zugang Kirche, Dorfladen etc.). Bei den Messungen im Januar/Februar 2010 sei eine mittlere Geschwindigkeit von 35-40 km/h gemessen worden; der V 85 -Wert liege im Bereich von 40-50 km/h. In den fünf Jahren 2004-2008 hätten sich drei polizeilich registrierte Unfälle (mit zwei Verletzten und einem Sachschaden von Fr. 12'000) im Bereich der vorgesehenen Tempo-30-Zone im Innerortsbereich von Sumvitg ereignet. Das Gutachten kam deshalb zum Ergebnis, dass die Voraussetzungen gemäss Art. 108 SSV und die zentralen Kriterien gemäss der BGE 139 II 145 S. 168 kantonalen Richtlinie Verkehrsberuhigung innerorts für die Einführung von Tempo 30 im Sumvitg erfüllt seien: Das heutige Geschwindigkeitsniveau sei hoch und müsse reduziert werden; an der Ortsdurchfahrt fehlten Trottoirs ganz oder sie seien gemäss der einschlägigen Norm ungenügend; parallel zur Strasse verlaufe ein wichtiger Schulweg und es gebe mehrere ungeschützte Fussgängerquerungen.</w:t>
      </w:r>
    </w:p>
    <w:p>
      <w:r>
        <w:rPr>
          <w:b/>
        </w:rPr>
        <w:t>E. 5.2</w:t>
      </w:r>
    </w:p>
    <w:p>
      <w:r>
        <w:t>Im angefochtenen Entscheid hielt das Verwaltungsgericht das Gutachten für vollständig, schlüssig und überzeugend. Die Verkehrssituation am gerichtlichen Augenschein habe die Schlussfolgerungen des Gutachtens bestätigt und auf eindrückliche Weise die Notwendigkeit einer Tempo-30-Zone bewiesen. Das Strassentrassee sei teilweise sehr eng und verunmögliche die Kreuzung grosser Fahrzeuge. Über längere Abschnitte fehle auf beiden Strassenseiten ein Trottoir gänzlich. Wo es ein Trottoir gebe, entspreche es nicht der Norm von 1,5 m Breite (gemäss VSS SN 640 070), sondern sei enger. Viele Hauseingänge führten direkt auf die Strasse. Personen mit Kinderwagen oder Menschen im Rollstuhl seien teilweise gezwungen, sich ausschliesslich auf der Strasse zu bewegen und seien so dem Verkehr ausgesetzt. Auch um einander zu kreuzen, müssten Fussgänger auf die Strasse ausweichen. Die Sicherheitsdefizite würden durch die kurzen Sichtdistanzen noch verstärkt.</w:t>
      </w:r>
    </w:p>
    <w:p>
      <w:r>
        <w:rPr>
          <w:b/>
        </w:rPr>
        <w:t>E. 5.3</w:t>
      </w:r>
    </w:p>
    <w:p>
      <w:r>
        <w:t>Das Departement hatte sich in seiner Verfügung in erster Linie auf den V 85 -Wert gestützt. Es äusserte sich aber nicht nur zu diesem Kriterium, sondern ging mit der Kommission davon aus, dass keine eigentlichen Sicherheitsdefizite erkennbar und durch Unfallzahlen belegbar seien. Die Querungen unterschieden sich aufgrund des Nutzungscharakters der Strasse (fehlende Geschäfte, Menge des Publikumsverkehrs) klar von denjenigen in Disentis. Es hielt fest, dass sich die Verkehrsunfälle im Verzweigungsbereich Hauptstrasse H19/Verbindungsstrasse nach S. Benedtg bzw. nach Cumpadials ereignet hätten, der sich innerhalb der beantragten und auch zu genehmigenden Tempo-30-Zone befinde. In seiner Vernehmlassung vor Verwaltungsgericht ging das Departement davon aus, dass die Ortsdurchfahrt zumindest auf der Talseite über eine erhöhte Gehweganlage verfüge; hierfür verwies es auf die Fotoaufnahmen im Gutachten.</w:t>
      </w:r>
    </w:p>
    <w:p>
      <w:r>
        <w:rPr>
          <w:b/>
        </w:rPr>
        <w:t>E. 5.4</w:t>
      </w:r>
    </w:p>
    <w:p>
      <w:r>
        <w:t>Die Beschwerdegegner wenden ein, dass sich vor verschiedenen Häusern lediglich schrammbordähnliche, von der Fahrbahn BGE 139 II 145 S. 169 abgehobene Bereiche von wechselnder Breite befänden. Diese seien oft so schmal, dass sie die Kreuzung von Fussgängern nicht zuliessen, d.h. bei Begegnungen müsse eine Person auf die Fahrbahn ausweichen. Dies geschehe mitunter unvermittelt und sei für herannahende Autofahrer nicht rechtzeitig erkennbar. Anders als mit reduzierter Geschwindigkeit lasse sich die Gefahr nicht beheben: Die Fahrbahn der Hauptstrasse sei im Ortszentrum von Sumvitg schon zu schmal; am eigentlichen Engpass, wo es überhaupt kein Trottoir gebe, befinde sich ein unter Denkmalschutz des Bundes und des Kantons stehendes Gebäude aus dem 16. Jahrhundert mit freskengeschmückter Fassade.</w:t>
      </w:r>
    </w:p>
    <w:p>
      <w:r>
        <w:rPr>
          <w:b/>
        </w:rPr>
        <w:t>E. 5.5</w:t>
      </w:r>
    </w:p>
    <w:p>
      <w:r>
        <w:t>Nach Auffassung des ASTRA wird die erhöhte Gefährdungssituation im Gutachten nicht genügend begründet; der Leser müsse sich dies aufgrund der umfangreichen Geschwindigkeitsmessdaten, Unfallzahlen und Pläne selber zusammenreimen. Unklar blieben auch die Kosten einer alternativen (baulichen) Behebung des Sicherheitsdefizits. Immerhin könne aufgrund der Pläne vermutet werden, dass die durch die Häuserausrichtung verengte Hauptstrasse kaum ohne erhebliche Kosten und ohne Veränderung des Ortsbildes saniert werden könnte. Bei der eigentlichen Verhältnismässigkeitsprüfung seien nur die Kosten für die Einrichtung der Tempo-30-Zone und der Zeitverlust von wenigen Sekunden des einzelnen Verkehrsteilnehmers berücksichtigt worden; massgebend wären jedoch v.a. die Auswirkungen auf das Gesamtsystem, namentlich auf die Funktionalität der Strasse, gewesen. Das Verwaltungsgericht habe zwar in seinem Urteil konziser argumentiert als das Gutachten; dennoch blieben gewisse Fragen - namentlich zu möglichen baulichen Alternativen im Trottoirbereich - unbeantwortet.</w:t>
      </w:r>
    </w:p>
    <w:p>
      <w:r>
        <w:rPr>
          <w:b/>
        </w:rPr>
        <w:t>E. 5.6</w:t>
      </w:r>
    </w:p>
    <w:p>
      <w:r>
        <w:t>Im Gutachten ist die Trottoirsituation in der Ortsdurchfahrt von Sumvitg mit Plan und Fotos dokumentiert. Daraus ergibt sich, dass auf keiner Seite der Ortsdurchfahrt ein durchgängiges Trottoir vorhanden ist, sondern (auch auf der Talseite) einzelne Trottoirabschnitte ganz fehlen oder eine ungenügende Breite von weniger als 1,5 m aufweisen. Berücksichtigt man zusätzlich die geringe Breite der Fahrbahn, die kurzen Sichtweiten und die relativ hohe gemessene Geschwindigkeit der Fahrzeuge, ist mit dem Verwaltungsgericht von einem erheblichen Sicherheitsdefizit für Fussgänger auszugehen. BGE 139 II 145 S. 170 Allerdings trifft es zu, dass diese Gefahrensituation sich bisher nicht in Verkehrsunfällen niedergeschlagen hat: Wie sich aus dem Bericht der Kantonspolizei vom 11. März 2011 ergibt, ereigneten sich die drei im Gutachten erwähnten Unfälle im Zusammenhang mit Bauarbeiten (2 Unfälle) sowie einer Rückwärtsfahrt (1 Unfall), waren also nicht auf die ungenügenden Gehwege zurückzuführen. Bestehen jedoch erhebliche Sicherheitsdefizite im Strassenverkehr, darf nicht zugewartet werden, bis sich die ersten Unfälle ereignet haben, sondern es müssen präventive Massnahmen zur Verbesserung der Verkehrssicherheit getroffen werden.</w:t>
      </w:r>
    </w:p>
    <w:p>
      <w:r>
        <w:rPr>
          <w:b/>
        </w:rPr>
        <w:t>E. 5.7</w:t>
      </w:r>
    </w:p>
    <w:p>
      <w:r>
        <w:t>Es ist unstreitig, dass die Herabsetzung der Geschwindigkeit auf 30 km/h die Sicherheit insbesondere der Fussgänger in der Orts-durchfahrt von Sumvitg erhöhen würde. Streitig ist dagegen, ob es aus Sicht des Strassenverkehrs mildere Massnahmen gibt. Das Gutachten geht davon aus, dass der Bau der fehlenden Trottoirs nicht nur aus Kostengründen unverhältnismässig, sondern auch mit grossen Eingriffen in die Siedlung und das Dorfbild verbunden wäre (Abbruch bzw. Teilabbruch von Gebäuden). Diese Aussage wird durch die im Gutachten liegenden Pläne und Fotos und die Feststellungen des Verwaltungsgerichts am Augenschein bestätigt. Die Fahrbahn lässt nach den Feststellungen des Verwaltungsgerichts schon heute die Kreuzung grosser Fahrzeuge nicht zu und kann daher nicht zugunsten breiterer Trottoirs reduziert werden. Unter diesen Umständen sind keine baulichen Massnahmen zur Verbesserung der Gehwegsituation ersichtlich. Andere Möglichkeiten der Trennung des Fussgänger- und des Autoverkehrs (z.B. Umgehungsstrasse, Tunnellösung) wären nicht nur mit sehr hohen Kosten verbunden, sondern würden Entscheide auf politischer Ebene voraussetzen, weshalb sie nicht als mildere bauliche Massnahmen in Betracht gezogen werden mussten.</w:t>
      </w:r>
    </w:p>
    <w:p>
      <w:r>
        <w:rPr>
          <w:b/>
        </w:rPr>
        <w:t>E. 5.8</w:t>
      </w:r>
    </w:p>
    <w:p>
      <w:r>
        <w:t>Sowohl das Gutachten als auch das Verwaltungsgericht gehen davon aus, dass der Einbezug der Hauptstrasse in die Tempo-30-Zone nicht mit gewichtigen oder gar überwiegenden Nachteilen für den Strassenverkehr verbunden wäre. Insbesondere ergäbe sich für die Automobilisten ein Zeitverlust von nur ca. 5 Sekunden (verglichen mit der heutigen mittleren Geschwindigkeit). Zwar ist dem ASTRA zuzustimmen, dass nicht allein auf den Zeitverlust für den einzelnen Autofahrer abgestellt werden darf, sondern die Funktion der Hauptstrasse im gesamten Verkehrsnetz berücksichtigt werden muss. Es gibt jedoch keinerlei Anhaltspunkte dafür, BGE 139 II 145 S. 171 dass der Einbezug der Hauptstrasse von Sumvitg in die vorgesehene Tempo-30-Zone die Leistungsfähigkeit des Verkehrsnetzes in der Region oder die Funktion der Hauptstrasse als Durchgangsstrasse beeinträchtigen könnte; dies wird auch von den Beschwerdeführerinnen nicht dargelegt.</w:t>
      </w:r>
    </w:p>
    <w:p>
      <w:r>
        <w:rPr>
          <w:b/>
        </w:rPr>
        <w:t>E. 5.9</w:t>
      </w:r>
    </w:p>
    <w:p>
      <w:r>
        <w:t>Der Umstand, dass der V 85 -Wert auf dem Hauptstrassenabschnitt über 42 km/h liegt, weist darauf hin, dass flankierende bauliche Massnahmen zur Einhaltung von Tempo 30 nötig sein könnten. Dagegen schliesst er den Einbezug der Hauptstrasse in die Tempo-30-Zone nicht aus. Hierfür kann auf die überzeugenden Ausführungen der Vorinstanz verwiesen werden, die weder von den Beschwerdeführerinnen noch vom ASTRA in Frage gestellt werden.</w:t>
      </w:r>
    </w:p>
    <w:p>
      <w:r>
        <w:rPr>
          <w:b/>
        </w:rPr>
        <w:t>E. 5.10</w:t>
      </w:r>
    </w:p>
    <w:p>
      <w:r>
        <w:t>Ist nach dem Gesagten der Einbezug des Hauptstrassenabschnitts das einzige Mittel, um die gravierende Gefährdung von Fussgängern im Ortskern von Sumvitg zu reduzieren, war das Departement nicht nur berechtigt, sondern verpflichtet, das Gesuch der Gemeinde (im Grundsatz) zu bewilligen. Es wäre ermessensmissbräuchlich, unter diesen Umständen den Interessen am möglichst ungehinderten Durchgangsverkehr Vorrang vor der physischen Integrität der Bewohner von Sumvitg zu geben. Das Verwaltungsgericht war daher berechtigt, den Einbezug der Hauptstrasse in die Tempo-30-Zone an Stelle des Departements anzuordnen. 6. Dagegen ist den Beschwerdeführerinnen und dem ASTRA zuzustimmen, dass dem Departement noch Gelegenheit gegeben werden muss, sich zum Wie des Einbezugs der Hauptstrasse in die Tempo-30-Zone zu äussern. Das Gutachten schlägt vor, die Hauptstrasse H19 ab der Schulbus-Haltestelle (im Westen) bis zur Kreuzung mit der Verbindungsstrasse nach Fontauna Sut (im Osten) in die Tempo-30-Zone einzubeziehen und an diesen Stellen mit Signaltafeln sowie Bodenmarkierungen zu signalisieren. Die heutige Vortrittsregelung sowie der markierte Fussgängerstreifen in der Nähe des westlichen Zonentors unterhalb des Schulhauses seien zu belassen. Zeige die (nach einem Jahr durchzuführende) Nachkontrolle, dass Tempo 30 zu wenig eingehalten werde, müssten in Absprache mit der Kantonspolizei entweder zusätzliche Markierungen angeordnet oder andere geeignete gestalterische Massnahmen getroffen werden. Das Verwaltungsgericht genehmigte das Gesuch der Gemeinde mit den vom Gutachten vorgeschlagenen Massnahmen, ohne dazu Stellung zu nehmen. BGE 139 II 145 S. 172 Die Beschwerdeführerinnen und das ASTRA machen zu Recht geltend, dass ein Ermessensspielraum der zuständigen kantonalen Behörde hinsichtlich der konkreten Umsetzung der Tempo-30-Zone bei Einbezug der Hauptstrasse besteht (Begrenzung, verkehrsrechtliche Massnahmen i.S. von Art. 4 der Verordnung über die Tempo-30-Zonen; Gestaltung des Strassenraums etc.). Die Sache ist deshalb zum Entscheid über diese Fragen an das Departement zurückzuweisen. 7. Die Beschwerdeführerinnen und das ASTRA beanstanden zu Recht, dass der vom Verwaltungsgericht bewilligte Einbezug der Hauptstrasse H19 in die Tempo-30-Zone von Sumvitg nicht im kantonalen Amtsblatt veröffentlicht wurde (gemäss Art. 107 Abs. 1 SSV i.V.m. Art. 1 lit. c des Bündner Gesetzes vom 19. Oktober 2011 über die Gesetzessammlungen und das Amtsblatt [Publikationsgesetz, PuG; BR 180.100]). Ob hierfür das Gericht oder (wie die Beschwerdegegner meinen) das Strassenverkehrsamt zuständig gewesen wäre, kann vorliegend offenbleiben: Da der angefochtene Entscheid ohnehin aufgehoben und die Sache zu neuem Entscheid an das Departement zurückgewiesen wird, kann die gebotene Publikation im Anschluss an dessen Entscheid erfolgen.</w:t>
      </w:r>
    </w:p>
    <w:p>
      <w:r>
        <w:rPr>
          <w:b/>
        </w:rPr>
        <w:t>E. 6</w:t>
      </w:r>
    </w:p>
    <w:p>
      <w:r>
        <w:t>Percunter stoi vegnir dà raschun a las partidas recurrentas ed al UVIAS ch'il departament sto anc survegnir la pussaivladad da s'exprimer davart la maniera sco che la via principala duai vegnir integrada en la zona da tempo 30. L'expertisa propona che la via principala H19 duai vegnir integrada en la zona da tempo 30 a partir da la fermada dal bus da scola (a la sortida al vest dal vitg) fin a la bifurcaziun cun la via da transit vers Fontauna Sut en l'ost dal vitg. La zona da tempo 30 duai vegnir signalisada en quests lieus cun tavlas e cun marcaziuns sin la surfatscha da la via. Las reglas da precedenza actualas ed il passadi da peduns marcà en vischinanza da la sortida al vest da la zona sut la chasa da scola duain vegnir mantegnids. Sch'ina controlla (suenter in onn) mussia ch'il tempo 30 vegnia respectà memia pauc, stuessan vegnir ordinadas en accord cun la polizia chantunala ubain ulteriuras marcaziun ubain autras mesiras da construcziun adattadas. La Dretgira administrativa ha lubì la petiziun da la vischnanca cun las mesiras proponidas da l'expertisa senza pigliar posiziun. Las partidas recurrentas ed il UVIAS rendan attent cun dretg a la libertad d'interpretaziun da l'autoritad chantunala pertutgant la realisaziun concreta da la zona da tempo 30 integrond la via principala (delimitaziun; mesiras dal dretg da traffic tenor l'art. 4 da l'Ordinaziun davart las zonas da tempo 30; concepziun da la via e dals passapes, etc.). Perquai sto la fatschenta vegnir returnada al departament per che questas dumondas possian vegnir decididas.</w:t>
      </w:r>
    </w:p>
    <w:p>
      <w:r>
        <w:rPr>
          <w:b/>
        </w:rPr>
        <w:t>E. 7</w:t>
      </w:r>
    </w:p>
    <w:p>
      <w:r>
        <w:t>Las partidas recurrentas ed il UVIAS crititgeschan cun raschun che l'integraziun da la via principala H19 en la zona da tempo 30 lubida da la Dretgira administrativa n'è betg vegnida publitgada en il Fegl uffizial (tenor l'art. 107 al. 1 OSV ensemen cun l'art. 1 lit. c da la BGE 139 II 145 S. 159 lescha chantunala dals 19 d'october 2011 davart las collecziuns da leschas e davart il fegl uffizial [lescha da publicaziun, LPubl; DG 180.110]). Tgi che fiss stà responsabel per questa publicaziun - la Dretgira administrativa ubain l'Uffizi per il traffic sin via (sco che las partidas adversarias pretendan) - po entant restar avert: Cunquai che la sentenzia contestada vegn en mintga cas abrogada e cunquai che la fatschenta vegn returnada al departament per ina nova decisiun en chaussa, po la publicaziun necessaria vegnir evasa suenter questa decisiun.</w:t>
      </w:r>
    </w:p>
    <w:p>
      <w:r>
        <w:rPr>
          <w:b/>
        </w:rPr>
        <w:t>E. 8</w:t>
      </w:r>
    </w:p>
    <w:p>
      <w:r>
        <w:t>Nach dem Gesagten ist die Beschwerde teilweise gutzuheissen. Der angefochtene Entscheid ist in Disp.-Ziff. 1 aufzuheben und die Sache an das Departement zurückzuweisen, damit dieses noch über das Wie des Einbezugs der Hauptstrasse H19 in die Tempo-30-Zone im Ortskern von Sumvitg entscheiden und anschliessend die Publikation im kantonalen Amtsblatt vornehmen kann. Dagegen ist die Beschwerde abzuweisen, soweit die Beschwerdeführerinnen den Einbezug der Hauptstrasse in die Tempo-30-Zone grundsätzlich in Frage 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